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40" w:lineRule="atLeast"/>
        <w:jc w:val="right"/>
      </w:pPr>
    </w:p>
    <w:p>
      <w:pPr>
        <w:keepNext/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2-2008/2806/2025</w:t>
      </w:r>
    </w:p>
    <w:p>
      <w:pPr>
        <w:keepNext/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УИД 86</w:t>
      </w:r>
      <w:r>
        <w:rPr>
          <w:rFonts w:ascii="Times New Roman" w:eastAsia="Times New Roman" w:hAnsi="Times New Roman" w:cs="Times New Roman"/>
          <w:sz w:val="22"/>
          <w:szCs w:val="22"/>
        </w:rPr>
        <w:t>MS</w:t>
      </w:r>
      <w:r>
        <w:rPr>
          <w:rFonts w:ascii="Times New Roman" w:eastAsia="Times New Roman" w:hAnsi="Times New Roman" w:cs="Times New Roman"/>
          <w:sz w:val="22"/>
          <w:szCs w:val="22"/>
        </w:rPr>
        <w:t>0080-</w:t>
      </w:r>
      <w:r>
        <w:rPr>
          <w:rStyle w:val="cat-PhoneNumbergrp-23rplc-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Style w:val="cat-PhoneNumbergrp-24rplc-1"/>
          <w:rFonts w:ascii="Times New Roman" w:eastAsia="Times New Roman" w:hAnsi="Times New Roman" w:cs="Times New Roman"/>
          <w:sz w:val="22"/>
          <w:szCs w:val="22"/>
        </w:rPr>
        <w:t>телефон</w:t>
      </w:r>
    </w:p>
    <w:p>
      <w:pPr>
        <w:keepNext/>
        <w:spacing w:before="0" w:after="0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секретаре судебного заседания </w:t>
      </w:r>
      <w:r>
        <w:rPr>
          <w:rStyle w:val="cat-FIOgrp-10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rStyle w:val="cat-OrganizationNamegrp-21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Быданову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займа, третье лицо, не заявляющее самостоятельных требований относительно предмета спора, публичное акционерное общество </w:t>
      </w:r>
      <w:r>
        <w:rPr>
          <w:rFonts w:ascii="Times New Roman" w:eastAsia="Times New Roman" w:hAnsi="Times New Roman" w:cs="Times New Roman"/>
          <w:sz w:val="28"/>
          <w:szCs w:val="28"/>
        </w:rPr>
        <w:t>микрофинансовая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статьями 194 - 199 Гражданского процессуального кодекса Российской Федерации,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OrganizationNamegrp-21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1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28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займа, третье лицо, не заявляющее самостоятельных требований относительно предмета спора, публичное акционерное общество </w:t>
      </w:r>
      <w:r>
        <w:rPr>
          <w:rFonts w:ascii="Times New Roman" w:eastAsia="Times New Roman" w:hAnsi="Times New Roman" w:cs="Times New Roman"/>
          <w:sz w:val="28"/>
          <w:szCs w:val="28"/>
        </w:rPr>
        <w:t>микрофинансовая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удовлетворить частично.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Быданова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20rplc-1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6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пользу </w:t>
      </w:r>
      <w:r>
        <w:rPr>
          <w:rStyle w:val="cat-OrganizationNamegrp-21rplc-2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</w:t>
      </w:r>
      <w:r>
        <w:rPr>
          <w:rStyle w:val="cat-PhoneNumbergrp-25rplc-2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ОГРН 1141831003192)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Z</w:t>
      </w:r>
      <w:r>
        <w:rPr>
          <w:rStyle w:val="cat-ExternalSystemDefinedgrp-27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6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Dategrp-7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8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размере </w:t>
      </w:r>
      <w:r>
        <w:rPr>
          <w:rStyle w:val="cat-Sumgrp-14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числе, </w:t>
      </w:r>
      <w:r>
        <w:rPr>
          <w:rStyle w:val="cat-Sumgrp-15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основной долг, </w:t>
      </w:r>
      <w:r>
        <w:rPr>
          <w:rStyle w:val="cat-Sumgrp-16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проценты за пользование займом, </w:t>
      </w:r>
      <w:r>
        <w:rPr>
          <w:rStyle w:val="cat-Sumgrp-17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неустойка, а также расходы по оплате государственной пошлины в размере </w:t>
      </w:r>
      <w:r>
        <w:rPr>
          <w:rStyle w:val="cat-Sumgrp-18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всего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взыскать </w:t>
      </w:r>
      <w:r>
        <w:rPr>
          <w:rStyle w:val="cat-Sumgrp-19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вправе подать заявления о составлении мотивированного решения суда: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Ханты-Мансийский районный суд </w:t>
      </w:r>
      <w:r>
        <w:rPr>
          <w:rStyle w:val="cat-Addressgrp-4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принятия решения в окончательной форме, путем подачи апелляционной жалобы мировому судье судебного участка № 6 Ханты-Мансийского судебного </w:t>
      </w:r>
      <w:r>
        <w:rPr>
          <w:rStyle w:val="cat-Addressgrp-5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Style w:val="cat-FIOgrp-13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 w:line="259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spacing w:before="0" w:after="0" w:line="259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Style w:val="cat-FIOgrp-13rplc-3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 w:line="259" w:lineRule="auto"/>
        <w:rPr>
          <w:sz w:val="28"/>
          <w:szCs w:val="28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widowControl w:val="0"/>
        <w:spacing w:before="0" w:after="0" w:line="240" w:lineRule="atLeast"/>
        <w:jc w:val="right"/>
      </w:pPr>
    </w:p>
    <w:p>
      <w:pPr>
        <w:widowControl w:val="0"/>
        <w:spacing w:before="0" w:after="0" w:line="240" w:lineRule="atLeast"/>
        <w:jc w:val="right"/>
      </w:pPr>
    </w:p>
    <w:p>
      <w:pPr>
        <w:widowControl w:val="0"/>
        <w:spacing w:before="0" w:after="0" w:line="240" w:lineRule="atLeast"/>
        <w:jc w:val="right"/>
      </w:pPr>
    </w:p>
    <w:p>
      <w:pPr>
        <w:widowControl w:val="0"/>
        <w:spacing w:before="0" w:after="0" w:line="240" w:lineRule="atLeast"/>
        <w:jc w:val="right"/>
      </w:pPr>
    </w:p>
    <w:p>
      <w:pPr>
        <w:widowControl w:val="0"/>
        <w:spacing w:before="0" w:after="0" w:line="240" w:lineRule="atLeast"/>
        <w:jc w:val="right"/>
      </w:pPr>
    </w:p>
    <w:p>
      <w:pPr>
        <w:widowControl w:val="0"/>
        <w:spacing w:before="0" w:after="0" w:line="240" w:lineRule="atLeast"/>
        <w:jc w:val="right"/>
      </w:pPr>
    </w:p>
    <w:p>
      <w:pPr>
        <w:widowControl w:val="0"/>
        <w:spacing w:before="0" w:after="0" w:line="240" w:lineRule="atLeast"/>
        <w:jc w:val="right"/>
      </w:pPr>
    </w:p>
    <w:p>
      <w:pPr>
        <w:widowControl w:val="0"/>
        <w:spacing w:before="0" w:after="0" w:line="240" w:lineRule="atLeast"/>
        <w:jc w:val="right"/>
      </w:pPr>
    </w:p>
    <w:p>
      <w:pPr>
        <w:widowControl w:val="0"/>
        <w:spacing w:before="0" w:after="0" w:line="240" w:lineRule="atLeast"/>
        <w:jc w:val="right"/>
      </w:pPr>
    </w:p>
    <w:p>
      <w:pPr>
        <w:widowControl w:val="0"/>
        <w:spacing w:before="0" w:after="0" w:line="240" w:lineRule="atLeast"/>
        <w:jc w:val="right"/>
      </w:pPr>
    </w:p>
    <w:p>
      <w:pPr>
        <w:widowControl w:val="0"/>
        <w:spacing w:before="0" w:after="0" w:line="240" w:lineRule="atLeast"/>
        <w:jc w:val="right"/>
      </w:pPr>
    </w:p>
    <w:p>
      <w:pPr>
        <w:widowControl w:val="0"/>
        <w:spacing w:before="0" w:after="0" w:line="240" w:lineRule="atLeast"/>
        <w:jc w:val="right"/>
      </w:pPr>
    </w:p>
    <w:p>
      <w:pPr>
        <w:widowControl w:val="0"/>
        <w:spacing w:before="0" w:after="0" w:line="240" w:lineRule="atLeast"/>
        <w:jc w:val="right"/>
      </w:pPr>
    </w:p>
    <w:p>
      <w:pPr>
        <w:widowControl w:val="0"/>
        <w:spacing w:before="0" w:after="0" w:line="240" w:lineRule="atLeast"/>
        <w:jc w:val="right"/>
      </w:pPr>
    </w:p>
    <w:p>
      <w:pPr>
        <w:widowControl w:val="0"/>
        <w:spacing w:before="0" w:after="0" w:line="240" w:lineRule="atLeast"/>
        <w:jc w:val="right"/>
      </w:pPr>
    </w:p>
    <w:p>
      <w:pPr>
        <w:widowControl w:val="0"/>
        <w:spacing w:before="0" w:after="0" w:line="240" w:lineRule="atLeast"/>
        <w:jc w:val="right"/>
      </w:pPr>
    </w:p>
    <w:p>
      <w:pPr>
        <w:widowControl w:val="0"/>
        <w:spacing w:before="0" w:after="0" w:line="240" w:lineRule="atLeast"/>
        <w:jc w:val="right"/>
      </w:pPr>
    </w:p>
    <w:p>
      <w:pPr>
        <w:widowControl w:val="0"/>
        <w:spacing w:before="0" w:after="0" w:line="240" w:lineRule="atLeast"/>
        <w:jc w:val="right"/>
      </w:pPr>
    </w:p>
    <w:p>
      <w:pPr>
        <w:widowControl w:val="0"/>
        <w:spacing w:before="0" w:after="0" w:line="240" w:lineRule="atLeast"/>
        <w:jc w:val="right"/>
      </w:pPr>
    </w:p>
    <w:p>
      <w:pPr>
        <w:widowControl w:val="0"/>
        <w:spacing w:before="0" w:after="0" w:line="240" w:lineRule="atLeast"/>
        <w:jc w:val="right"/>
      </w:pPr>
    </w:p>
    <w:p>
      <w:pPr>
        <w:widowControl w:val="0"/>
        <w:spacing w:before="0" w:after="0" w:line="240" w:lineRule="atLeast"/>
        <w:jc w:val="right"/>
      </w:pPr>
    </w:p>
    <w:p>
      <w:pPr>
        <w:widowControl w:val="0"/>
        <w:spacing w:before="0" w:after="0" w:line="240" w:lineRule="atLeast"/>
        <w:jc w:val="right"/>
      </w:pPr>
    </w:p>
    <w:p>
      <w:pPr>
        <w:widowControl w:val="0"/>
        <w:spacing w:before="0" w:after="0" w:line="240" w:lineRule="atLeast"/>
        <w:jc w:val="right"/>
      </w:pPr>
    </w:p>
    <w:p>
      <w:pPr>
        <w:widowControl w:val="0"/>
        <w:spacing w:before="0" w:after="0" w:line="240" w:lineRule="atLeast"/>
        <w:jc w:val="right"/>
      </w:pPr>
    </w:p>
    <w:p>
      <w:pPr>
        <w:widowControl w:val="0"/>
        <w:spacing w:before="0" w:after="0" w:line="240" w:lineRule="atLeast"/>
        <w:jc w:val="right"/>
      </w:pPr>
    </w:p>
    <w:p>
      <w:pPr>
        <w:widowControl w:val="0"/>
        <w:spacing w:before="0" w:after="0" w:line="240" w:lineRule="atLeast"/>
        <w:jc w:val="right"/>
      </w:pPr>
    </w:p>
    <w:p>
      <w:pPr>
        <w:widowControl w:val="0"/>
        <w:spacing w:before="0" w:after="0" w:line="240" w:lineRule="atLeast"/>
        <w:jc w:val="right"/>
      </w:pPr>
    </w:p>
    <w:p>
      <w:pPr>
        <w:widowControl w:val="0"/>
        <w:spacing w:before="0" w:after="0" w:line="240" w:lineRule="atLeast"/>
        <w:jc w:val="right"/>
      </w:pPr>
    </w:p>
    <w:p>
      <w:pPr>
        <w:widowControl w:val="0"/>
        <w:spacing w:before="0" w:after="0" w:line="240" w:lineRule="atLeast"/>
        <w:jc w:val="right"/>
      </w:pPr>
    </w:p>
    <w:p>
      <w:pPr>
        <w:widowControl w:val="0"/>
        <w:spacing w:before="0" w:after="0" w:line="240" w:lineRule="atLeast"/>
        <w:jc w:val="right"/>
      </w:pPr>
    </w:p>
    <w:p>
      <w:pPr>
        <w:widowControl w:val="0"/>
        <w:spacing w:before="0" w:after="0" w:line="240" w:lineRule="atLeast"/>
        <w:jc w:val="right"/>
      </w:pPr>
    </w:p>
    <w:p>
      <w:pPr>
        <w:widowControl w:val="0"/>
        <w:spacing w:before="0" w:after="0" w:line="240" w:lineRule="atLeast"/>
        <w:jc w:val="right"/>
      </w:pPr>
    </w:p>
    <w:p>
      <w:pPr>
        <w:widowControl w:val="0"/>
        <w:spacing w:before="0" w:after="0" w:line="240" w:lineRule="atLeast"/>
        <w:jc w:val="right"/>
      </w:pPr>
    </w:p>
    <w:p>
      <w:pPr>
        <w:widowControl w:val="0"/>
        <w:spacing w:before="0" w:after="0" w:line="240" w:lineRule="atLeast"/>
        <w:jc w:val="right"/>
      </w:pPr>
    </w:p>
    <w:p>
      <w:pPr>
        <w:widowControl w:val="0"/>
        <w:spacing w:before="0" w:after="0" w:line="240" w:lineRule="atLeast"/>
        <w:jc w:val="right"/>
      </w:pPr>
    </w:p>
    <w:p>
      <w:pPr>
        <w:widowControl w:val="0"/>
        <w:spacing w:before="0" w:after="0" w:line="240" w:lineRule="atLeast"/>
        <w:jc w:val="right"/>
      </w:pPr>
    </w:p>
    <w:p>
      <w:pPr>
        <w:widowControl w:val="0"/>
        <w:spacing w:before="0" w:after="0" w:line="240" w:lineRule="atLeast"/>
        <w:jc w:val="right"/>
      </w:pPr>
    </w:p>
    <w:p>
      <w:pPr>
        <w:widowControl w:val="0"/>
        <w:spacing w:before="0" w:after="0" w:line="240" w:lineRule="atLeast"/>
        <w:jc w:val="right"/>
      </w:pPr>
    </w:p>
    <w:p>
      <w:pPr>
        <w:widowControl w:val="0"/>
        <w:spacing w:before="0" w:after="0" w:line="240" w:lineRule="atLeast"/>
        <w:jc w:val="right"/>
      </w:pPr>
    </w:p>
    <w:p>
      <w:pPr>
        <w:widowControl w:val="0"/>
        <w:spacing w:before="0" w:after="0" w:line="240" w:lineRule="atLeast"/>
        <w:jc w:val="right"/>
      </w:pPr>
    </w:p>
    <w:p>
      <w:pPr>
        <w:widowControl w:val="0"/>
        <w:spacing w:before="0" w:after="0" w:line="240" w:lineRule="atLeast"/>
        <w:jc w:val="right"/>
      </w:pPr>
    </w:p>
    <w:p>
      <w:pPr>
        <w:widowControl w:val="0"/>
        <w:spacing w:before="0" w:after="0" w:line="240" w:lineRule="atLeast"/>
        <w:jc w:val="right"/>
      </w:pPr>
    </w:p>
    <w:p>
      <w:pPr>
        <w:widowControl w:val="0"/>
        <w:spacing w:before="0" w:after="0" w:line="240" w:lineRule="atLeast"/>
        <w:jc w:val="right"/>
      </w:pPr>
    </w:p>
    <w:p>
      <w:pPr>
        <w:widowControl w:val="0"/>
        <w:spacing w:before="0" w:after="0" w:line="240" w:lineRule="atLeast"/>
        <w:jc w:val="right"/>
      </w:pPr>
    </w:p>
    <w:p>
      <w:pPr>
        <w:widowControl w:val="0"/>
        <w:spacing w:before="0" w:after="0" w:line="240" w:lineRule="atLeast"/>
        <w:jc w:val="right"/>
      </w:pPr>
    </w:p>
    <w:p>
      <w:pPr>
        <w:widowControl w:val="0"/>
        <w:spacing w:before="0" w:after="0" w:line="240" w:lineRule="atLeast"/>
        <w:jc w:val="right"/>
      </w:pPr>
    </w:p>
    <w:p>
      <w:pPr>
        <w:widowControl w:val="0"/>
        <w:spacing w:before="0" w:after="0" w:line="240" w:lineRule="atLeast"/>
        <w:jc w:val="right"/>
      </w:pPr>
    </w:p>
    <w:p>
      <w:pPr>
        <w:widowControl w:val="0"/>
        <w:spacing w:before="0" w:after="0" w:line="240" w:lineRule="atLeast"/>
        <w:jc w:val="right"/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3rplc-0">
    <w:name w:val="cat-PhoneNumber grp-23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9rplc-7">
    <w:name w:val="cat-FIO grp-9 rplc-7"/>
    <w:basedOn w:val="DefaultParagraphFont"/>
  </w:style>
  <w:style w:type="character" w:customStyle="1" w:styleId="cat-FIOgrp-10rplc-8">
    <w:name w:val="cat-FIO grp-10 rplc-8"/>
    <w:basedOn w:val="DefaultParagraphFont"/>
  </w:style>
  <w:style w:type="character" w:customStyle="1" w:styleId="cat-OrganizationNamegrp-21rplc-9">
    <w:name w:val="cat-OrganizationName grp-21 rplc-9"/>
    <w:basedOn w:val="DefaultParagraphFont"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OrganizationNamegrp-22rplc-12">
    <w:name w:val="cat-OrganizationName grp-22 rplc-12"/>
    <w:basedOn w:val="DefaultParagraphFont"/>
  </w:style>
  <w:style w:type="character" w:customStyle="1" w:styleId="cat-OrganizationNamegrp-21rplc-13">
    <w:name w:val="cat-OrganizationName grp-21 rplc-13"/>
    <w:basedOn w:val="DefaultParagraphFont"/>
  </w:style>
  <w:style w:type="character" w:customStyle="1" w:styleId="cat-FIOgrp-11rplc-14">
    <w:name w:val="cat-FIO grp-11 rplc-14"/>
    <w:basedOn w:val="DefaultParagraphFont"/>
  </w:style>
  <w:style w:type="character" w:customStyle="1" w:styleId="cat-UserDefinedgrp-28rplc-15">
    <w:name w:val="cat-UserDefined grp-28 rplc-15"/>
    <w:basedOn w:val="DefaultParagraphFont"/>
  </w:style>
  <w:style w:type="character" w:customStyle="1" w:styleId="cat-OrganizationNamegrp-22rplc-16">
    <w:name w:val="cat-OrganizationName grp-22 rplc-16"/>
    <w:basedOn w:val="DefaultParagraphFont"/>
  </w:style>
  <w:style w:type="character" w:customStyle="1" w:styleId="cat-UserDefinedgrp-29rplc-18">
    <w:name w:val="cat-UserDefined grp-29 rplc-18"/>
    <w:basedOn w:val="DefaultParagraphFont"/>
  </w:style>
  <w:style w:type="character" w:customStyle="1" w:styleId="cat-PassportDatagrp-20rplc-19">
    <w:name w:val="cat-PassportData grp-20 rplc-19"/>
    <w:basedOn w:val="DefaultParagraphFont"/>
  </w:style>
  <w:style w:type="character" w:customStyle="1" w:styleId="cat-ExternalSystemDefinedgrp-26rplc-20">
    <w:name w:val="cat-ExternalSystemDefined grp-26 rplc-20"/>
    <w:basedOn w:val="DefaultParagraphFont"/>
  </w:style>
  <w:style w:type="character" w:customStyle="1" w:styleId="cat-OrganizationNamegrp-21rplc-21">
    <w:name w:val="cat-OrganizationName grp-21 rplc-21"/>
    <w:basedOn w:val="DefaultParagraphFont"/>
  </w:style>
  <w:style w:type="character" w:customStyle="1" w:styleId="cat-PhoneNumbergrp-25rplc-22">
    <w:name w:val="cat-PhoneNumber grp-25 rplc-22"/>
    <w:basedOn w:val="DefaultParagraphFont"/>
  </w:style>
  <w:style w:type="character" w:customStyle="1" w:styleId="cat-ExternalSystemDefinedgrp-27rplc-23">
    <w:name w:val="cat-ExternalSystemDefined grp-27 rplc-23"/>
    <w:basedOn w:val="DefaultParagraphFont"/>
  </w:style>
  <w:style w:type="character" w:customStyle="1" w:styleId="cat-ExternalSystemDefinedgrp-26rplc-24">
    <w:name w:val="cat-ExternalSystemDefined grp-26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Sumgrp-14rplc-28">
    <w:name w:val="cat-Sum grp-14 rplc-28"/>
    <w:basedOn w:val="DefaultParagraphFont"/>
  </w:style>
  <w:style w:type="character" w:customStyle="1" w:styleId="cat-Sumgrp-15rplc-29">
    <w:name w:val="cat-Sum grp-15 rplc-29"/>
    <w:basedOn w:val="DefaultParagraphFont"/>
  </w:style>
  <w:style w:type="character" w:customStyle="1" w:styleId="cat-Sumgrp-16rplc-30">
    <w:name w:val="cat-Sum grp-16 rplc-30"/>
    <w:basedOn w:val="DefaultParagraphFont"/>
  </w:style>
  <w:style w:type="character" w:customStyle="1" w:styleId="cat-Sumgrp-17rplc-31">
    <w:name w:val="cat-Sum grp-17 rplc-31"/>
    <w:basedOn w:val="DefaultParagraphFont"/>
  </w:style>
  <w:style w:type="character" w:customStyle="1" w:styleId="cat-Sumgrp-18rplc-32">
    <w:name w:val="cat-Sum grp-18 rplc-32"/>
    <w:basedOn w:val="DefaultParagraphFont"/>
  </w:style>
  <w:style w:type="character" w:customStyle="1" w:styleId="cat-Sumgrp-19rplc-33">
    <w:name w:val="cat-Sum grp-19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Addressgrp-3rplc-35">
    <w:name w:val="cat-Address grp-3 rplc-35"/>
    <w:basedOn w:val="DefaultParagraphFont"/>
  </w:style>
  <w:style w:type="character" w:customStyle="1" w:styleId="cat-Addressgrp-5rplc-36">
    <w:name w:val="cat-Address grp-5 rplc-36"/>
    <w:basedOn w:val="DefaultParagraphFont"/>
  </w:style>
  <w:style w:type="character" w:customStyle="1" w:styleId="cat-FIOgrp-13rplc-37">
    <w:name w:val="cat-FIO grp-13 rplc-37"/>
    <w:basedOn w:val="DefaultParagraphFont"/>
  </w:style>
  <w:style w:type="character" w:customStyle="1" w:styleId="cat-FIOgrp-13rplc-38">
    <w:name w:val="cat-FIO grp-13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